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1A42" w:rsidRDefault="000E1A42">
      <w:r>
        <w:tab/>
      </w:r>
      <w:r>
        <w:tab/>
        <w:t>2013 ANNUAL VALUE FOR MONEY REPORT BY THE</w:t>
      </w:r>
    </w:p>
    <w:p w:rsidR="000E1A42" w:rsidRDefault="000E1A42"/>
    <w:p w:rsidR="00DF66E3" w:rsidRDefault="000E1A42" w:rsidP="000E1A42">
      <w:pPr>
        <w:ind w:left="1440" w:firstLine="720"/>
      </w:pPr>
      <w:r>
        <w:t xml:space="preserve">  ONTARIO AUDITOR GENERAL</w:t>
      </w:r>
    </w:p>
    <w:p w:rsidR="000E1A42" w:rsidRDefault="000E1A42" w:rsidP="000E1A42"/>
    <w:p w:rsidR="000E1A42" w:rsidRDefault="000E1A42" w:rsidP="000E1A42">
      <w:pPr>
        <w:rPr>
          <w:u w:val="single"/>
        </w:rPr>
      </w:pPr>
      <w:r>
        <w:tab/>
      </w:r>
      <w:r>
        <w:tab/>
      </w:r>
      <w:r>
        <w:rPr>
          <w:u w:val="single"/>
        </w:rPr>
        <w:t>Highlights of Interest to Electricity Consumers</w:t>
      </w:r>
    </w:p>
    <w:p w:rsidR="000E1A42" w:rsidRDefault="000E1A42" w:rsidP="000E1A42">
      <w:pPr>
        <w:rPr>
          <w:u w:val="single"/>
        </w:rPr>
      </w:pPr>
    </w:p>
    <w:p w:rsidR="000E1A42" w:rsidRDefault="000E1A42" w:rsidP="000E1A42">
      <w:pPr>
        <w:rPr>
          <w:u w:val="single"/>
        </w:rPr>
      </w:pPr>
    </w:p>
    <w:p w:rsidR="000E1A42" w:rsidRDefault="000E1A42" w:rsidP="000E1A42">
      <w:pPr>
        <w:rPr>
          <w:u w:val="single"/>
        </w:rPr>
      </w:pPr>
      <w:r>
        <w:rPr>
          <w:u w:val="single"/>
        </w:rPr>
        <w:t>Introduction</w:t>
      </w:r>
    </w:p>
    <w:p w:rsidR="000E1A42" w:rsidRDefault="000E1A42" w:rsidP="000E1A42">
      <w:pPr>
        <w:rPr>
          <w:u w:val="single"/>
        </w:rPr>
      </w:pPr>
    </w:p>
    <w:p w:rsidR="000E1A42" w:rsidRDefault="000E1A42" w:rsidP="000E1A42">
      <w:r>
        <w:t>The Ontario Auditor General issued her annual value for money (VFM) report on December 10, 2013. The report covered a broad range of topics concerning the financial and management performance of Ontario government departments and agencies. Among these were four sections of particular interest to electricity consumers:</w:t>
      </w:r>
    </w:p>
    <w:p w:rsidR="000E1A42" w:rsidRDefault="000E1A42" w:rsidP="000E1A42"/>
    <w:p w:rsidR="000E1A42" w:rsidRDefault="000E1A42" w:rsidP="000E1A42">
      <w:pPr>
        <w:pStyle w:val="ListParagraph"/>
        <w:numPr>
          <w:ilvl w:val="0"/>
          <w:numId w:val="1"/>
        </w:numPr>
      </w:pPr>
      <w:r>
        <w:t>Section 3.05 of the report examined the human resources practices of Ontario Power Generation, the provincially-owned and operated electricity generation utility, including the staffing levels and costs of the utility</w:t>
      </w:r>
    </w:p>
    <w:p w:rsidR="000E1A42" w:rsidRDefault="000E1A42" w:rsidP="000E1A42">
      <w:pPr>
        <w:pStyle w:val="ListParagraph"/>
        <w:numPr>
          <w:ilvl w:val="0"/>
          <w:numId w:val="1"/>
        </w:numPr>
      </w:pPr>
      <w:r>
        <w:t>Section 4.02 of the report examined regulatory oversight of the electricity sector by the Ontario Energy Board</w:t>
      </w:r>
    </w:p>
    <w:p w:rsidR="000E1A42" w:rsidRDefault="000E1A42" w:rsidP="000E1A42">
      <w:pPr>
        <w:pStyle w:val="ListParagraph"/>
        <w:numPr>
          <w:ilvl w:val="0"/>
          <w:numId w:val="1"/>
        </w:numPr>
      </w:pPr>
      <w:r>
        <w:t>Section 4.03 of the report examined the management of renewable energy initiatives in the electricity sector by the Ministry of Energy and the Independent Electricity System Operator (IESO)</w:t>
      </w:r>
    </w:p>
    <w:p w:rsidR="000E1A42" w:rsidRDefault="000E1A42" w:rsidP="000E1A42">
      <w:pPr>
        <w:pStyle w:val="ListParagraph"/>
        <w:numPr>
          <w:ilvl w:val="0"/>
          <w:numId w:val="1"/>
        </w:numPr>
      </w:pPr>
      <w:r>
        <w:t>Section 4.04 of the report examined the management of the “stranded debt” of the former Ontario Hydro by the Ministry of Finance</w:t>
      </w:r>
    </w:p>
    <w:p w:rsidR="000E1A42" w:rsidRDefault="000E1A42" w:rsidP="000E1A42"/>
    <w:p w:rsidR="000E1A42" w:rsidRDefault="000E1A42" w:rsidP="000E1A42">
      <w:r>
        <w:t xml:space="preserve">The last three sections were </w:t>
      </w:r>
      <w:r w:rsidR="00927DA3">
        <w:t>follow up</w:t>
      </w:r>
      <w:r>
        <w:t xml:space="preserve"> reports to observations made by the Auditor General in the 2012 Annual Report.</w:t>
      </w:r>
    </w:p>
    <w:p w:rsidR="000E1A42" w:rsidRDefault="000E1A42" w:rsidP="000E1A42"/>
    <w:p w:rsidR="000E1A42" w:rsidRDefault="000E1A42" w:rsidP="000E1A42">
      <w:r>
        <w:t>The following are highlights of these sections, each followed by my brief commentary.</w:t>
      </w:r>
    </w:p>
    <w:p w:rsidR="000E1A42" w:rsidRDefault="000E1A42" w:rsidP="000E1A42"/>
    <w:p w:rsidR="000E1A42" w:rsidRDefault="000E1A42" w:rsidP="000E1A42">
      <w:pPr>
        <w:rPr>
          <w:u w:val="single"/>
        </w:rPr>
      </w:pPr>
      <w:r>
        <w:rPr>
          <w:u w:val="single"/>
        </w:rPr>
        <w:t>Human Resources Performance of Ontario Power Generation (OPG)</w:t>
      </w:r>
    </w:p>
    <w:p w:rsidR="000E1A42" w:rsidRDefault="000E1A42" w:rsidP="000E1A42">
      <w:pPr>
        <w:rPr>
          <w:u w:val="single"/>
        </w:rPr>
      </w:pPr>
    </w:p>
    <w:p w:rsidR="000E1A42" w:rsidRDefault="000E1A42" w:rsidP="000E1A42">
      <w:pPr>
        <w:pStyle w:val="ListParagraph"/>
        <w:numPr>
          <w:ilvl w:val="0"/>
          <w:numId w:val="2"/>
        </w:numPr>
      </w:pPr>
      <w:r>
        <w:t>OPG has a generating capacity of over 19,000 megawatts and produces about 60% of Ontario’s power. However, the amount of power that OPG produces has decreased by 23% over the past</w:t>
      </w:r>
      <w:r w:rsidR="00994E28">
        <w:t xml:space="preserve"> decade (from 109 terawatt hours in 2003 to 84 terawatt hours in 2012) with the reduction in demand for electricity, closing of coal plants and increased private-sector involvement in new power generation.</w:t>
      </w:r>
    </w:p>
    <w:p w:rsidR="00994E28" w:rsidRDefault="00994E28" w:rsidP="000E1A42">
      <w:pPr>
        <w:pStyle w:val="ListParagraph"/>
        <w:numPr>
          <w:ilvl w:val="0"/>
          <w:numId w:val="2"/>
        </w:numPr>
      </w:pPr>
      <w:r>
        <w:t>OPG has been trying to improve its operational efficiency and operating costs. In 2012, OPG’s labour costs were about $1.7 billion, which accounted for about 64% of its total operations, maintenance and administration (O</w:t>
      </w:r>
      <w:r w:rsidR="00927DA3">
        <w:t>, M</w:t>
      </w:r>
      <w:r>
        <w:t xml:space="preserve">&amp;A) costs. Staff levels have dropped by 13% over the past ten years from about 12,800 employees in 2003 to about 11,100 in 2012, largely through a </w:t>
      </w:r>
      <w:r>
        <w:lastRenderedPageBreak/>
        <w:t>reduction in temporary and contract staff. The company plans further reductions in staff due to declining demand for the electri</w:t>
      </w:r>
      <w:r w:rsidR="00B039C6">
        <w:t>city it generates. The number of</w:t>
      </w:r>
      <w:r>
        <w:t xml:space="preserve"> staff will drop by almost 50% by 2025.</w:t>
      </w:r>
    </w:p>
    <w:p w:rsidR="00994E28" w:rsidRDefault="00994E28" w:rsidP="000E1A42">
      <w:pPr>
        <w:pStyle w:val="ListParagraph"/>
        <w:numPr>
          <w:ilvl w:val="0"/>
          <w:numId w:val="2"/>
        </w:numPr>
      </w:pPr>
      <w:r>
        <w:t xml:space="preserve">Despite the reductions in total staff that have occurred, the size of OPG’s executive and senior management group has increased by 58% (from 152 in 2005 to 238 in 2012). </w:t>
      </w:r>
      <w:r w:rsidR="00512573">
        <w:t>The number of executives increased from 54 in 2005 to 94 in 2012, while the number of senior management staff increased from 98 in 2005 to 144 in 2012. The management group has also benefitted from a very generous Annual Incentive Plan, with awards ranging from $1600 to $1.3 million, depending on an employee</w:t>
      </w:r>
      <w:r w:rsidR="00B039C6">
        <w:t>’</w:t>
      </w:r>
      <w:r w:rsidR="00512573">
        <w:t>s salary band. On average, from 2010 to 2012, 67% of executive and senior management staff received “high” scores while only 24% of staff in lower job categories received them.</w:t>
      </w:r>
    </w:p>
    <w:p w:rsidR="00512573" w:rsidRDefault="00512573" w:rsidP="000E1A42">
      <w:pPr>
        <w:pStyle w:val="ListParagraph"/>
        <w:numPr>
          <w:ilvl w:val="0"/>
          <w:numId w:val="2"/>
        </w:numPr>
      </w:pPr>
      <w:r>
        <w:t xml:space="preserve">All OPG staff </w:t>
      </w:r>
      <w:r w:rsidR="00B039C6">
        <w:t xml:space="preserve">categories </w:t>
      </w:r>
      <w:r>
        <w:t>had compensation levels considerably higher than those in other Ontario government institutions and in other electrical utilities to which they were compared.  The number of OPG staff on the Sunshine List has grown steadily since 1999. Over the last ten y</w:t>
      </w:r>
      <w:r w:rsidR="00445693">
        <w:t>ea</w:t>
      </w:r>
      <w:r>
        <w:t xml:space="preserve">rs, the number </w:t>
      </w:r>
      <w:r w:rsidR="00445693">
        <w:t xml:space="preserve">earning over $100,000 per year </w:t>
      </w:r>
      <w:r>
        <w:t>has doubled, from 3,980 employees in 2003 to 7,960 in 201</w:t>
      </w:r>
      <w:r w:rsidR="00445693">
        <w:t>2, represent</w:t>
      </w:r>
      <w:r>
        <w:t>ing about 62% of the employees on OPG’s payroll</w:t>
      </w:r>
      <w:r w:rsidR="00445693">
        <w:t>. The number of OPG staff earning $200,000 per year or more increased much faster, from 117 employees in 2003 to 448 employees in 2012.</w:t>
      </w:r>
    </w:p>
    <w:p w:rsidR="008427DD" w:rsidRDefault="008427DD" w:rsidP="000E1A42">
      <w:pPr>
        <w:pStyle w:val="ListParagraph"/>
        <w:numPr>
          <w:ilvl w:val="0"/>
          <w:numId w:val="2"/>
        </w:numPr>
      </w:pPr>
      <w:r>
        <w:t xml:space="preserve">OPG’s overtime costs were $148 million in 2012. The number of OPG employees earning more than $50,000 </w:t>
      </w:r>
      <w:r w:rsidR="00B039C6">
        <w:t xml:space="preserve">annually </w:t>
      </w:r>
      <w:r>
        <w:t>in overtime pay has doubled since 2003, from about 260 to 520 in 2012.</w:t>
      </w:r>
    </w:p>
    <w:p w:rsidR="008427DD" w:rsidRDefault="008427DD" w:rsidP="008427DD"/>
    <w:p w:rsidR="008427DD" w:rsidRDefault="008427DD" w:rsidP="008427DD">
      <w:r>
        <w:t>Salaries in electrical utilities across North America have long been higher than those in other sectors of th</w:t>
      </w:r>
      <w:r w:rsidR="00B039C6">
        <w:t>e economy. This is</w:t>
      </w:r>
      <w:r>
        <w:t xml:space="preserve"> partly because o</w:t>
      </w:r>
      <w:r w:rsidR="00B039C6">
        <w:t xml:space="preserve">f the high percentage of well </w:t>
      </w:r>
      <w:r>
        <w:t>qualified engineers employed</w:t>
      </w:r>
      <w:r w:rsidR="00B039C6">
        <w:t>. It is also</w:t>
      </w:r>
      <w:r>
        <w:t xml:space="preserve"> because these staff work in an industry dominated by large firms that are often owned by governments and regulated as monopolistic utilities </w:t>
      </w:r>
      <w:r w:rsidR="00777E18">
        <w:t xml:space="preserve">largely </w:t>
      </w:r>
      <w:r>
        <w:t xml:space="preserve">free from market competition and discipline. </w:t>
      </w:r>
      <w:r w:rsidR="00777E18">
        <w:t>Nonetheless, the electricity consumer has to question why a utility with steadily declining sales and revenues still has steadily increasing wage costs. The consumer and taxpayer should also ask why OPG has been allowed by its Board of Directors and the Ontario Energy Board, which oversee it, to become so top heavy with expensive managers and executives.</w:t>
      </w:r>
    </w:p>
    <w:p w:rsidR="00777E18" w:rsidRDefault="00777E18" w:rsidP="008427DD"/>
    <w:p w:rsidR="00777E18" w:rsidRDefault="001472DD" w:rsidP="008427DD">
      <w:pPr>
        <w:rPr>
          <w:u w:val="single"/>
        </w:rPr>
      </w:pPr>
      <w:r>
        <w:rPr>
          <w:u w:val="single"/>
        </w:rPr>
        <w:t>Oversight of Electricity by the Ontario Energy Board</w:t>
      </w:r>
    </w:p>
    <w:p w:rsidR="001472DD" w:rsidRDefault="001472DD" w:rsidP="008427DD">
      <w:pPr>
        <w:rPr>
          <w:u w:val="single"/>
        </w:rPr>
      </w:pPr>
    </w:p>
    <w:p w:rsidR="001472DD" w:rsidRDefault="001472DD" w:rsidP="001472DD">
      <w:pPr>
        <w:pStyle w:val="ListParagraph"/>
        <w:numPr>
          <w:ilvl w:val="0"/>
          <w:numId w:val="3"/>
        </w:numPr>
      </w:pPr>
      <w:r>
        <w:t xml:space="preserve">At the time of </w:t>
      </w:r>
      <w:r w:rsidR="008C1A81">
        <w:t>the Auditor General’s 2011 report</w:t>
      </w:r>
      <w:r>
        <w:t xml:space="preserve">, it found that electricity prices for the average Ontario consumer had risen about 65% since the restructuring of the electricity sector in 1999, and </w:t>
      </w:r>
      <w:r w:rsidR="00927DA3">
        <w:t>prices were</w:t>
      </w:r>
      <w:r>
        <w:t xml:space="preserve"> projected to rise another 46% by 2015. This underlined the important role of the Ontario Energy Board in protecting consumers while setting rates that would provide a reasonable rate of return for the industry. The 2012 report noted that the Board’s ability to perform this role was limited, however, by several factors. Notably, </w:t>
      </w:r>
      <w:r w:rsidR="00A96721">
        <w:t>the Board has jurisdiction (i.e. the right to judge whether rates are just and reasonable) over only about half of the total charges on a typical bill. It can set rates for the power generated by nuclear and hydro power plants operated by OPG, along with transmission, distribution and certain other charges. It has no control, however, over the parts of the bill based on government policy decisions, including the electricity sold to residential customers that comes from other electricity suppliers (i.e. wind, solar, biomass, etc.) and that, in total</w:t>
      </w:r>
      <w:r w:rsidR="00B039C6">
        <w:t>,</w:t>
      </w:r>
      <w:r w:rsidR="00A96721">
        <w:t xml:space="preserve"> represents 65% of the cost of the electricity component of the typical bill.  The Auditor General recommended that the Board “encourage” the Ministry of Energy and OPG to consult with it in their energy price commitments and “clearly explain the reason for each charge on consumer power bills”.</w:t>
      </w:r>
    </w:p>
    <w:p w:rsidR="00A96721" w:rsidRDefault="00A96721" w:rsidP="001472DD">
      <w:pPr>
        <w:pStyle w:val="ListParagraph"/>
        <w:numPr>
          <w:ilvl w:val="0"/>
          <w:numId w:val="3"/>
        </w:numPr>
      </w:pPr>
      <w:r>
        <w:t xml:space="preserve">In the 2013 report, the Auditor General </w:t>
      </w:r>
      <w:r w:rsidR="00B039C6">
        <w:t xml:space="preserve">found </w:t>
      </w:r>
      <w:r>
        <w:t>that its recommendations had been substantially</w:t>
      </w:r>
      <w:r w:rsidR="008C1A81">
        <w:t xml:space="preserve"> implemented.</w:t>
      </w:r>
    </w:p>
    <w:p w:rsidR="008C1A81" w:rsidRDefault="008C1A81" w:rsidP="008C1A81"/>
    <w:p w:rsidR="008C1A81" w:rsidRDefault="008C1A81" w:rsidP="008C1A81">
      <w:r>
        <w:t>The Auditor General’s recommendations and the follow</w:t>
      </w:r>
      <w:r w:rsidR="00F40C3F">
        <w:t xml:space="preserve"> </w:t>
      </w:r>
      <w:r>
        <w:t xml:space="preserve">up by the OEB are </w:t>
      </w:r>
      <w:r w:rsidR="00927DA3">
        <w:t>well intended</w:t>
      </w:r>
      <w:r>
        <w:t xml:space="preserve"> in terms of increasing the transparency and accountability of electricity prices and costs in Ontario. Unfortunately, they are completely at the margin of the forces that are driving electricity rates higher, which are government policy and the </w:t>
      </w:r>
      <w:r w:rsidRPr="00B039C6">
        <w:rPr>
          <w:i/>
          <w:iCs/>
        </w:rPr>
        <w:t>Green Energy and Green Economy Act</w:t>
      </w:r>
      <w:r>
        <w:t>.</w:t>
      </w:r>
    </w:p>
    <w:p w:rsidR="008C1A81" w:rsidRDefault="008C1A81" w:rsidP="008C1A81"/>
    <w:p w:rsidR="008C1A81" w:rsidRDefault="008C1A81" w:rsidP="008C1A81">
      <w:pPr>
        <w:rPr>
          <w:u w:val="single"/>
        </w:rPr>
      </w:pPr>
      <w:r>
        <w:rPr>
          <w:u w:val="single"/>
        </w:rPr>
        <w:t>Renewable Energy Initiatives</w:t>
      </w:r>
    </w:p>
    <w:p w:rsidR="008C1A81" w:rsidRDefault="008C1A81" w:rsidP="008C1A81">
      <w:pPr>
        <w:rPr>
          <w:u w:val="single"/>
        </w:rPr>
      </w:pPr>
    </w:p>
    <w:p w:rsidR="00BA0103" w:rsidRPr="00BA0103" w:rsidRDefault="008C1A81" w:rsidP="008C1A81">
      <w:pPr>
        <w:pStyle w:val="ListParagraph"/>
        <w:numPr>
          <w:ilvl w:val="0"/>
          <w:numId w:val="4"/>
        </w:numPr>
        <w:rPr>
          <w:u w:val="single"/>
        </w:rPr>
      </w:pPr>
      <w:r>
        <w:t xml:space="preserve">In the 2011 Auditor General Report, it was noted that the </w:t>
      </w:r>
      <w:r w:rsidRPr="00B039C6">
        <w:rPr>
          <w:i/>
          <w:iCs/>
        </w:rPr>
        <w:t>Green Energy and Green Economy Act</w:t>
      </w:r>
      <w:r>
        <w:t xml:space="preserve"> authorized the Minister of Energy, in procuring “renewable energy”, to </w:t>
      </w:r>
      <w:r w:rsidR="00927DA3">
        <w:t>supersede</w:t>
      </w:r>
      <w:r>
        <w:t xml:space="preserve"> many of the government’s usual planning and regulatory oversight processes. The report noted that wind and solar power will add significant costs to ratepayers’ electricity b</w:t>
      </w:r>
      <w:r w:rsidR="00BA0103">
        <w:t>ills. Further, it observed that, while Ontario was on track to shut down more than 7,500 megawatts (MW) of low-cost coal-fired generation by 2014, this would be more than replaced by nuclear power from refurbished plants, an increase of about 5,000 MW of gas-fired generation, and up to 10,700 MW of renewable energy (by 2018). The Auditor General recommended that the Ministry of Energy and the Ontario Power Authority:</w:t>
      </w:r>
    </w:p>
    <w:p w:rsidR="00BA0103" w:rsidRPr="00BA0103" w:rsidRDefault="002923B3" w:rsidP="00BA0103">
      <w:pPr>
        <w:pStyle w:val="ListParagraph"/>
        <w:numPr>
          <w:ilvl w:val="1"/>
          <w:numId w:val="4"/>
        </w:numPr>
        <w:rPr>
          <w:u w:val="single"/>
        </w:rPr>
      </w:pPr>
      <w:r>
        <w:t>W</w:t>
      </w:r>
      <w:r w:rsidR="00BA0103">
        <w:t>ork together to increase consumer awareness of the concept of the Global Adjustment (the part of the electricity bill that covers renewable energy costs) and its cost impact over time;</w:t>
      </w:r>
    </w:p>
    <w:p w:rsidR="008C1A81" w:rsidRPr="00BA0103" w:rsidRDefault="00BA0103" w:rsidP="00BA0103">
      <w:pPr>
        <w:pStyle w:val="ListParagraph"/>
        <w:numPr>
          <w:ilvl w:val="1"/>
          <w:numId w:val="4"/>
        </w:numPr>
        <w:rPr>
          <w:u w:val="single"/>
        </w:rPr>
      </w:pPr>
      <w:r>
        <w:t>Conduct adequate analyses of the various renewable energy implementation alternatives so that decision makers are able to give due consideration to cost, reliability and sustainability;</w:t>
      </w:r>
    </w:p>
    <w:p w:rsidR="00BA0103" w:rsidRPr="00EC6F1F" w:rsidRDefault="00BA0103" w:rsidP="00BA0103">
      <w:pPr>
        <w:pStyle w:val="ListParagraph"/>
        <w:numPr>
          <w:ilvl w:val="1"/>
          <w:numId w:val="4"/>
        </w:numPr>
        <w:rPr>
          <w:u w:val="single"/>
        </w:rPr>
      </w:pPr>
      <w:r>
        <w:t xml:space="preserve">Consider the </w:t>
      </w:r>
      <w:r w:rsidR="00EC6F1F">
        <w:t>experiences of other jurisdictions and lessons learned from previous procurements in Ontario when setting and adjusting renewable contact prices and work with IESO to assess the impact of curtailing renewables as part of energy planning;</w:t>
      </w:r>
    </w:p>
    <w:p w:rsidR="00EC6F1F" w:rsidRPr="00EC6F1F" w:rsidRDefault="00EC6F1F" w:rsidP="00BA0103">
      <w:pPr>
        <w:pStyle w:val="ListParagraph"/>
        <w:numPr>
          <w:ilvl w:val="1"/>
          <w:numId w:val="4"/>
        </w:numPr>
        <w:rPr>
          <w:u w:val="single"/>
        </w:rPr>
      </w:pPr>
      <w:r>
        <w:t>Coordinate better with other departments and agencies especially in planning to avoid litigation and potentially unnecessary compensation because of conflicts with environmental impact and planning decisions;</w:t>
      </w:r>
    </w:p>
    <w:p w:rsidR="00EC6F1F" w:rsidRPr="00EC6F1F" w:rsidRDefault="00EC6F1F" w:rsidP="00BA0103">
      <w:pPr>
        <w:pStyle w:val="ListParagraph"/>
        <w:numPr>
          <w:ilvl w:val="1"/>
          <w:numId w:val="4"/>
        </w:numPr>
        <w:rPr>
          <w:u w:val="single"/>
        </w:rPr>
      </w:pPr>
      <w:r>
        <w:t>Work with IESO to assess the operational challenges and the feasibility of adding more intermittent renewable energy into the system, and advise the government to adjust the energy mix and energy plan accordingly;</w:t>
      </w:r>
    </w:p>
    <w:p w:rsidR="00EC6F1F" w:rsidRPr="00EC6F1F" w:rsidRDefault="00EC6F1F" w:rsidP="00BA0103">
      <w:pPr>
        <w:pStyle w:val="ListParagraph"/>
        <w:numPr>
          <w:ilvl w:val="1"/>
          <w:numId w:val="4"/>
        </w:numPr>
        <w:rPr>
          <w:u w:val="single"/>
        </w:rPr>
      </w:pPr>
      <w:r>
        <w:t>Prioritize the connection of approved FIT projects to the grid;</w:t>
      </w:r>
    </w:p>
    <w:p w:rsidR="00EC6F1F" w:rsidRPr="00086487" w:rsidRDefault="00EC6F1F" w:rsidP="00BA0103">
      <w:pPr>
        <w:pStyle w:val="ListParagraph"/>
        <w:numPr>
          <w:ilvl w:val="1"/>
          <w:numId w:val="4"/>
        </w:numPr>
        <w:rPr>
          <w:u w:val="single"/>
        </w:rPr>
      </w:pPr>
      <w:r>
        <w:t>Give adequate consideration, in estimating</w:t>
      </w:r>
      <w:r w:rsidR="00086487">
        <w:t xml:space="preserve"> the jobs to be created by the renewable energy strategy, to both job-creation and job-loss impacts, as well as the experiences of other jurisdictions in this regard; and </w:t>
      </w:r>
    </w:p>
    <w:p w:rsidR="00086487" w:rsidRPr="00890DB8" w:rsidRDefault="00086487" w:rsidP="00BA0103">
      <w:pPr>
        <w:pStyle w:val="ListParagraph"/>
        <w:numPr>
          <w:ilvl w:val="1"/>
          <w:numId w:val="4"/>
        </w:numPr>
        <w:rPr>
          <w:u w:val="single"/>
        </w:rPr>
      </w:pPr>
      <w:r>
        <w:t>Measure the effect of renewable energy strategies in reducing greenhouse gas emissions and provide the public with the results of objective research on the potential health effects of wind power.</w:t>
      </w:r>
    </w:p>
    <w:p w:rsidR="00890DB8" w:rsidRDefault="00890DB8" w:rsidP="00890DB8">
      <w:pPr>
        <w:rPr>
          <w:u w:val="single"/>
        </w:rPr>
      </w:pPr>
    </w:p>
    <w:p w:rsidR="00890DB8" w:rsidRPr="00890DB8" w:rsidRDefault="00890DB8" w:rsidP="00890DB8">
      <w:pPr>
        <w:pStyle w:val="ListParagraph"/>
        <w:numPr>
          <w:ilvl w:val="0"/>
          <w:numId w:val="4"/>
        </w:numPr>
        <w:rPr>
          <w:u w:val="single"/>
        </w:rPr>
      </w:pPr>
      <w:r>
        <w:t>The 2013 report indicates progress on most of these recommendations.</w:t>
      </w:r>
    </w:p>
    <w:p w:rsidR="00890DB8" w:rsidRPr="00EF7595" w:rsidRDefault="00890DB8" w:rsidP="00890DB8">
      <w:pPr>
        <w:pStyle w:val="ListParagraph"/>
        <w:numPr>
          <w:ilvl w:val="0"/>
          <w:numId w:val="4"/>
        </w:numPr>
        <w:rPr>
          <w:u w:val="single"/>
        </w:rPr>
      </w:pPr>
      <w:r>
        <w:t>The Ministry of Energy, the OEB and OPA have collaborated to launch online tools that will help consumers understand their electricity bills. The OPA has incorporated the latest data relating to electricity costs in a Generation Procurement Cost Disclosure</w:t>
      </w:r>
      <w:r w:rsidR="00EF7595">
        <w:t>, which was posted on the OPA’s website in September 2013</w:t>
      </w:r>
      <w:r w:rsidR="00B039C6">
        <w:t>. The OPA has also</w:t>
      </w:r>
      <w:r w:rsidR="00EF7595">
        <w:t xml:space="preserve"> revamped its quarterly supply report to make it more accessible to the average reader.</w:t>
      </w:r>
    </w:p>
    <w:p w:rsidR="00EF7595" w:rsidRPr="00EF7595" w:rsidRDefault="00EF7595" w:rsidP="00890DB8">
      <w:pPr>
        <w:pStyle w:val="ListParagraph"/>
        <w:numPr>
          <w:ilvl w:val="0"/>
          <w:numId w:val="4"/>
        </w:numPr>
        <w:rPr>
          <w:u w:val="single"/>
        </w:rPr>
      </w:pPr>
      <w:r>
        <w:t xml:space="preserve">The Ministry reviewed the FIT program </w:t>
      </w:r>
      <w:r w:rsidR="00B039C6">
        <w:t>and issued a report on March 22,</w:t>
      </w:r>
      <w:r>
        <w:t xml:space="preserve"> 2013. The Minister subsequently issued five directives instructing the OPA to continue with the FIT program and to implement certain policy changes with regard to FIT prices, capacity allocation and prioritization of projects.</w:t>
      </w:r>
    </w:p>
    <w:p w:rsidR="00EF7595" w:rsidRPr="00441612" w:rsidRDefault="00EF7595" w:rsidP="00890DB8">
      <w:pPr>
        <w:pStyle w:val="ListParagraph"/>
        <w:numPr>
          <w:ilvl w:val="0"/>
          <w:numId w:val="4"/>
        </w:numPr>
        <w:rPr>
          <w:u w:val="single"/>
        </w:rPr>
      </w:pPr>
      <w:r>
        <w:t xml:space="preserve">As a result of the Ministry’s review of FIT, prices for new projects in 2012 were reduced by more than 20% for solar power and by approximately 15% for wind power. FIT prices for solar were later further reduced effective August 26, 2013 so the new project price is now about 59% lower than when the FIT program was launched.  The government also revised the Investment Agreement with the Samsung Consortium from the original commitment for 2,500 MW to 1,369 MW, representing </w:t>
      </w:r>
      <w:r w:rsidR="00441612">
        <w:t>an estimated $3.7 billion reduction from the $9.7 billion contract cost</w:t>
      </w:r>
      <w:r w:rsidR="00927DA3">
        <w:t>.</w:t>
      </w:r>
      <w:r w:rsidR="00441612">
        <w:t xml:space="preserve"> On June 12, 2013, the Minister of Energy directed the OPA not to procure large projects (larger than 500 MW) under the FIT program and to develop a new competitive procurement process.</w:t>
      </w:r>
    </w:p>
    <w:p w:rsidR="00441612" w:rsidRPr="00441612" w:rsidRDefault="00441612" w:rsidP="00890DB8">
      <w:pPr>
        <w:pStyle w:val="ListParagraph"/>
        <w:numPr>
          <w:ilvl w:val="0"/>
          <w:numId w:val="4"/>
        </w:numPr>
        <w:rPr>
          <w:u w:val="single"/>
        </w:rPr>
      </w:pPr>
      <w:r>
        <w:t>IESO instituted a new Renewable Integration Market Rule that requires renewable generators to turn down or off when there is an oversupply of energy in the system.</w:t>
      </w:r>
    </w:p>
    <w:p w:rsidR="00441612" w:rsidRPr="00441612" w:rsidRDefault="00441612" w:rsidP="00890DB8">
      <w:pPr>
        <w:pStyle w:val="ListParagraph"/>
        <w:numPr>
          <w:ilvl w:val="0"/>
          <w:numId w:val="4"/>
        </w:numPr>
        <w:rPr>
          <w:u w:val="single"/>
        </w:rPr>
      </w:pPr>
      <w:r>
        <w:t xml:space="preserve">The Ministry of the Environment has amended the Renewable Energy Approval regulation to streamline the process and improve timelines for project approvals by up to 25%. The Ministry of Natural Resources proposed policy changes for renewable energy projects on Crown </w:t>
      </w:r>
      <w:r w:rsidR="00927DA3">
        <w:t>land and</w:t>
      </w:r>
      <w:r>
        <w:t xml:space="preserve"> to increase the release of Crown land for these purposes.</w:t>
      </w:r>
    </w:p>
    <w:p w:rsidR="00441612" w:rsidRPr="001D6B91" w:rsidRDefault="001D6B91" w:rsidP="00890DB8">
      <w:pPr>
        <w:pStyle w:val="ListParagraph"/>
        <w:numPr>
          <w:ilvl w:val="0"/>
          <w:numId w:val="4"/>
        </w:numPr>
        <w:rPr>
          <w:u w:val="single"/>
        </w:rPr>
      </w:pPr>
      <w:r>
        <w:t xml:space="preserve">OPA and the OEB are working on a Renewed Regulatory Framework for Electricity (RRFE), a new approach to </w:t>
      </w:r>
      <w:r w:rsidR="00927DA3">
        <w:t>rate setting</w:t>
      </w:r>
      <w:r>
        <w:t xml:space="preserve"> that “is intended to support cost-effective modernization of the electricity network by aligning the needs of the sector with the expectations of consumers for reliability and affordability”.</w:t>
      </w:r>
    </w:p>
    <w:p w:rsidR="001D6B91" w:rsidRPr="00954448" w:rsidRDefault="001D6B91" w:rsidP="00890DB8">
      <w:pPr>
        <w:pStyle w:val="ListParagraph"/>
        <w:numPr>
          <w:ilvl w:val="0"/>
          <w:numId w:val="4"/>
        </w:numPr>
        <w:rPr>
          <w:u w:val="single"/>
        </w:rPr>
      </w:pPr>
      <w:r>
        <w:t>OPA is providing the Ministry with data that will help in assessing the socio-economic impact of renewable energy, including compliance with local content requirements. At the same time, following the success of Japan in September 2010 in challenging the Ontario domestic content requirements before the WTO, Ontario now “intends to comply with the WTO rulings and has been given 10 months, from May 24, 2013, to bring the FIT program into compliance by phasing out the domestic content requirement”.</w:t>
      </w:r>
    </w:p>
    <w:p w:rsidR="00954448" w:rsidRPr="00954448" w:rsidRDefault="00954448" w:rsidP="00890DB8">
      <w:pPr>
        <w:pStyle w:val="ListParagraph"/>
        <w:numPr>
          <w:ilvl w:val="0"/>
          <w:numId w:val="4"/>
        </w:numPr>
        <w:rPr>
          <w:u w:val="single"/>
        </w:rPr>
      </w:pPr>
      <w:r>
        <w:t>The Ministry of Energy insists that it will continue to rely on the Chief Medical Officer of Health to provide advice on the potential health impacts of renewable energy generation. The Ministry of the Environment “is to continue monitoring the latest findings on low-frequency noise and infrasound from wind turbines”.</w:t>
      </w:r>
    </w:p>
    <w:p w:rsidR="00954448" w:rsidRPr="00F40C3F" w:rsidRDefault="00954448" w:rsidP="00890DB8">
      <w:pPr>
        <w:pStyle w:val="ListParagraph"/>
        <w:numPr>
          <w:ilvl w:val="0"/>
          <w:numId w:val="4"/>
        </w:numPr>
        <w:rPr>
          <w:u w:val="single"/>
        </w:rPr>
      </w:pPr>
      <w:r>
        <w:t>The OPA’s latest tracking results show that CO2 emissions increased slightly from 12.2 megatonnes (MT) as of December 2011 to 12.6 MT as of December 2012 due to the an increase in the amount of energy produced and exported.</w:t>
      </w:r>
    </w:p>
    <w:p w:rsidR="00F40C3F" w:rsidRDefault="00F40C3F" w:rsidP="00F40C3F">
      <w:pPr>
        <w:rPr>
          <w:u w:val="single"/>
        </w:rPr>
      </w:pPr>
    </w:p>
    <w:p w:rsidR="00F40C3F" w:rsidRDefault="00F40C3F" w:rsidP="00F40C3F">
      <w:r>
        <w:t>Despite its diplomatic terminology, t</w:t>
      </w:r>
      <w:r w:rsidRPr="00F40C3F">
        <w:t>he 2011 Auditor General</w:t>
      </w:r>
      <w:r>
        <w:t xml:space="preserve"> report was a major</w:t>
      </w:r>
      <w:r w:rsidR="00676DA0">
        <w:t xml:space="preserve"> attack on the rationale for</w:t>
      </w:r>
      <w:r>
        <w:t xml:space="preserve"> and </w:t>
      </w:r>
      <w:r w:rsidR="00676DA0">
        <w:t xml:space="preserve">the </w:t>
      </w:r>
      <w:r>
        <w:t xml:space="preserve">implementation of the Ontario government’s renewable energy strategy. The response of the government over the past year includes some significant concessions, including the long-overdue reductions in FIT rates for </w:t>
      </w:r>
      <w:r w:rsidR="00676DA0">
        <w:t>solar power facilities, although those rates remain 10 times higher than those for conventional energy. The changes that have been made to date, while important, do not alter the path towards one of the most expensive electricity regimes in the world. The “improvements” in planning mean, in effect, that the path for wind and solar power plants on sensitive lands, including Crown lands, will be easier and faster. It is refreshing to see the government’s arguments for employment benefits and greenhouse gas emissions benefits from the high cost renewables strategy so completely undermined. GHGs are actually increasing as a result of the present strategy!</w:t>
      </w:r>
    </w:p>
    <w:p w:rsidR="00835543" w:rsidRDefault="00835543" w:rsidP="00F40C3F"/>
    <w:p w:rsidR="00835543" w:rsidRDefault="00835543" w:rsidP="00F40C3F">
      <w:pPr>
        <w:rPr>
          <w:u w:val="single"/>
        </w:rPr>
      </w:pPr>
      <w:r>
        <w:rPr>
          <w:u w:val="single"/>
        </w:rPr>
        <w:t>Stranded Debt in the Electricity Sector</w:t>
      </w:r>
    </w:p>
    <w:p w:rsidR="00835543" w:rsidRDefault="00835543" w:rsidP="00F40C3F">
      <w:pPr>
        <w:rPr>
          <w:u w:val="single"/>
        </w:rPr>
      </w:pPr>
    </w:p>
    <w:p w:rsidR="00835543" w:rsidRDefault="00835543" w:rsidP="00835543">
      <w:pPr>
        <w:pStyle w:val="ListParagraph"/>
        <w:numPr>
          <w:ilvl w:val="0"/>
          <w:numId w:val="5"/>
        </w:numPr>
      </w:pPr>
      <w:r>
        <w:t>In the Auditor General’s 2012 report, she explained the background to the Debt Retirement Charge (DRC), a component of nearly every Ontario ratepayer’s electricity bill. Collection of the DRC be</w:t>
      </w:r>
      <w:r w:rsidR="00EE36EF">
        <w:t>gan on May 1, 2002, at a rate of 0.7 cents per kilowatt hour (kWh) of electricity and it remains at that rate today. The charge remits to the Ontario Electricity Financial Corporation (OEFC), and thus to the Ministry of Finance, about $950 million per year.</w:t>
      </w:r>
    </w:p>
    <w:p w:rsidR="00EE36EF" w:rsidRDefault="00EE36EF" w:rsidP="00835543">
      <w:pPr>
        <w:pStyle w:val="ListParagraph"/>
        <w:numPr>
          <w:ilvl w:val="0"/>
          <w:numId w:val="5"/>
        </w:numPr>
      </w:pPr>
      <w:r>
        <w:t>The DRC was authorized by the Energy Competition Act of 1998, which included the restructuring of the former Ontario Hydro into four main successor companies. The OEFC was given the responsibility to man</w:t>
      </w:r>
      <w:r w:rsidR="00CC6CAF">
        <w:t>a</w:t>
      </w:r>
      <w:r>
        <w:t>ge the legacy debt of the old Ontario Hydro, which resulted from the fact that, at its dissolution, the former Crown Corporation had debts of $38.1 billion and assets of only $17.2 billion. The $20.9 billion difference was to be repaid partially out of the future profits of OPG and Hydro One. The rest, called the “residual stranded debt’ was to be repaid by consumers directly via the DRC.</w:t>
      </w:r>
    </w:p>
    <w:p w:rsidR="007076BA" w:rsidRDefault="00EE36EF" w:rsidP="00835543">
      <w:pPr>
        <w:pStyle w:val="ListParagraph"/>
        <w:numPr>
          <w:ilvl w:val="0"/>
          <w:numId w:val="5"/>
        </w:numPr>
      </w:pPr>
      <w:r>
        <w:t xml:space="preserve">Here’s the problem. As of March 31, </w:t>
      </w:r>
      <w:r w:rsidR="00CC6CAF">
        <w:t>2013, the Ontario government had</w:t>
      </w:r>
      <w:r>
        <w:t xml:space="preserve"> collected $10.6 billion from the DRC, more than enough to </w:t>
      </w:r>
      <w:r w:rsidR="007076BA">
        <w:t>eliminate the original “residual stranded debt”. The government claimed, however, that the debt had not been retired because in the meantime the OEFC had incurred other costs. The Auditor General took the position that the Ontario government should determine what the balance of the residual stranded debt was and provide periodic reports to the public on its progress in reducing the debt.</w:t>
      </w:r>
    </w:p>
    <w:p w:rsidR="00EE36EF" w:rsidRDefault="007076BA" w:rsidP="00835543">
      <w:pPr>
        <w:pStyle w:val="ListParagraph"/>
        <w:numPr>
          <w:ilvl w:val="0"/>
          <w:numId w:val="5"/>
        </w:numPr>
      </w:pPr>
      <w:r>
        <w:t>In the 2013 report, the Auditor General acknowledges that the Ontario Minister of Finance included a report in the 2012 Ontario Economic Outlook and the 2013 Budget on the residual stranded debt. The report reveals that the debt was $</w:t>
      </w:r>
      <w:r w:rsidR="007F4E65">
        <w:t>4</w:t>
      </w:r>
      <w:r>
        <w:t>.5 billion at March 31, 2012. The report gives no explanation or commitment as to when the debt will be fully paid</w:t>
      </w:r>
      <w:r w:rsidR="00CC6CAF">
        <w:t xml:space="preserve"> and the DRC charge removed</w:t>
      </w:r>
      <w:r>
        <w:t>.</w:t>
      </w:r>
    </w:p>
    <w:p w:rsidR="007076BA" w:rsidRDefault="007076BA" w:rsidP="007076BA"/>
    <w:p w:rsidR="007076BA" w:rsidRDefault="007076BA" w:rsidP="007076BA">
      <w:r>
        <w:t>The Ontario Budget includes a graph showing the residual stranded debt over the period since April 1999. According to this graph, th</w:t>
      </w:r>
      <w:r w:rsidR="007F4E65">
        <w:t>e debt stood at $7.5 billion at the end of</w:t>
      </w:r>
      <w:r>
        <w:t xml:space="preserve"> 2002/2003, and then ros</w:t>
      </w:r>
      <w:r w:rsidR="007F4E65">
        <w:t>e to $11.9 billion at the end of</w:t>
      </w:r>
      <w:r>
        <w:t xml:space="preserve"> 2003/2004, before gradually declining to $4.5 billion </w:t>
      </w:r>
      <w:r w:rsidR="007F4E65">
        <w:t>at the end of 2011/2012. There is no explanation as to why the debt rose during 2003/2004, long after the end of Ontario Hydro. If one considers only the average rate of reduction from 2003/2004 to 2011/2012 of $925 million per year and projects this forward, it means that the residual stranded debt will be paid off by the end of 2016/2017. By that time, the Ontario government will have collected about $15.3 billion to repay the original $7.8 billion. This assumes that no other unexplained charges get added to consumers’ bills.</w:t>
      </w:r>
    </w:p>
    <w:p w:rsidR="0086224F" w:rsidRDefault="0086224F" w:rsidP="007076BA"/>
    <w:p w:rsidR="0086224F" w:rsidRDefault="0086224F" w:rsidP="007076BA">
      <w:r>
        <w:t>Robert Lyman</w:t>
      </w:r>
    </w:p>
    <w:p w:rsidR="0086224F" w:rsidRPr="00835543" w:rsidRDefault="0086224F" w:rsidP="007076BA">
      <w:r>
        <w:t>Ottawa</w:t>
      </w:r>
      <w:bookmarkStart w:id="0" w:name="_GoBack"/>
      <w:bookmarkEnd w:id="0"/>
    </w:p>
    <w:sectPr w:rsidR="0086224F" w:rsidRPr="00835543" w:rsidSect="00DF66E3">
      <w:footerReference w:type="even" r:id="rId7"/>
      <w:footerReference w:type="default" r:id="rId8"/>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6802" w:rsidRDefault="00416802" w:rsidP="00F40C3F">
      <w:r>
        <w:separator/>
      </w:r>
    </w:p>
  </w:endnote>
  <w:endnote w:type="continuationSeparator" w:id="0">
    <w:p w:rsidR="00416802" w:rsidRDefault="00416802" w:rsidP="00F40C3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39C6" w:rsidRDefault="002758C5" w:rsidP="00F40C3F">
    <w:pPr>
      <w:pStyle w:val="Footer"/>
      <w:framePr w:wrap="around" w:vAnchor="text" w:hAnchor="margin" w:xAlign="right" w:y="1"/>
      <w:rPr>
        <w:rStyle w:val="PageNumber"/>
      </w:rPr>
    </w:pPr>
    <w:r>
      <w:rPr>
        <w:rStyle w:val="PageNumber"/>
      </w:rPr>
      <w:fldChar w:fldCharType="begin"/>
    </w:r>
    <w:r w:rsidR="00B039C6">
      <w:rPr>
        <w:rStyle w:val="PageNumber"/>
      </w:rPr>
      <w:instrText xml:space="preserve">PAGE  </w:instrText>
    </w:r>
    <w:r>
      <w:rPr>
        <w:rStyle w:val="PageNumber"/>
      </w:rPr>
      <w:fldChar w:fldCharType="end"/>
    </w:r>
  </w:p>
  <w:p w:rsidR="00B039C6" w:rsidRDefault="00B039C6" w:rsidP="00F40C3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39C6" w:rsidRDefault="002758C5" w:rsidP="00F40C3F">
    <w:pPr>
      <w:pStyle w:val="Footer"/>
      <w:framePr w:wrap="around" w:vAnchor="text" w:hAnchor="margin" w:xAlign="right" w:y="1"/>
      <w:rPr>
        <w:rStyle w:val="PageNumber"/>
      </w:rPr>
    </w:pPr>
    <w:r>
      <w:rPr>
        <w:rStyle w:val="PageNumber"/>
      </w:rPr>
      <w:fldChar w:fldCharType="begin"/>
    </w:r>
    <w:r w:rsidR="00B039C6">
      <w:rPr>
        <w:rStyle w:val="PageNumber"/>
      </w:rPr>
      <w:instrText xml:space="preserve">PAGE  </w:instrText>
    </w:r>
    <w:r>
      <w:rPr>
        <w:rStyle w:val="PageNumber"/>
      </w:rPr>
      <w:fldChar w:fldCharType="separate"/>
    </w:r>
    <w:r w:rsidR="00416802">
      <w:rPr>
        <w:rStyle w:val="PageNumber"/>
        <w:noProof/>
      </w:rPr>
      <w:t>1</w:t>
    </w:r>
    <w:r>
      <w:rPr>
        <w:rStyle w:val="PageNumber"/>
      </w:rPr>
      <w:fldChar w:fldCharType="end"/>
    </w:r>
  </w:p>
  <w:p w:rsidR="00B039C6" w:rsidRDefault="00B039C6" w:rsidP="00F40C3F">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6802" w:rsidRDefault="00416802" w:rsidP="00F40C3F">
      <w:r>
        <w:separator/>
      </w:r>
    </w:p>
  </w:footnote>
  <w:footnote w:type="continuationSeparator" w:id="0">
    <w:p w:rsidR="00416802" w:rsidRDefault="00416802" w:rsidP="00F40C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4261C"/>
    <w:multiLevelType w:val="hybridMultilevel"/>
    <w:tmpl w:val="C7AA82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C71A66"/>
    <w:multiLevelType w:val="hybridMultilevel"/>
    <w:tmpl w:val="C37AA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4079D9"/>
    <w:multiLevelType w:val="hybridMultilevel"/>
    <w:tmpl w:val="B87AB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2B2942"/>
    <w:multiLevelType w:val="hybridMultilevel"/>
    <w:tmpl w:val="EF229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896AD7"/>
    <w:multiLevelType w:val="hybridMultilevel"/>
    <w:tmpl w:val="FE2ED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useFELayout/>
  </w:compat>
  <w:rsids>
    <w:rsidRoot w:val="000E1A42"/>
    <w:rsid w:val="00086487"/>
    <w:rsid w:val="000E1A42"/>
    <w:rsid w:val="001472DD"/>
    <w:rsid w:val="001D6B91"/>
    <w:rsid w:val="002758C5"/>
    <w:rsid w:val="002923B3"/>
    <w:rsid w:val="00416802"/>
    <w:rsid w:val="00441612"/>
    <w:rsid w:val="00445693"/>
    <w:rsid w:val="00512573"/>
    <w:rsid w:val="00676DA0"/>
    <w:rsid w:val="007076BA"/>
    <w:rsid w:val="00777E18"/>
    <w:rsid w:val="007C24FD"/>
    <w:rsid w:val="007F4E65"/>
    <w:rsid w:val="00835543"/>
    <w:rsid w:val="008427DD"/>
    <w:rsid w:val="0086224F"/>
    <w:rsid w:val="00890DB8"/>
    <w:rsid w:val="008C1A81"/>
    <w:rsid w:val="00927DA3"/>
    <w:rsid w:val="00954448"/>
    <w:rsid w:val="00994E28"/>
    <w:rsid w:val="00A96721"/>
    <w:rsid w:val="00B039C6"/>
    <w:rsid w:val="00BA0103"/>
    <w:rsid w:val="00CC6CAF"/>
    <w:rsid w:val="00DF66E3"/>
    <w:rsid w:val="00EC6F1F"/>
    <w:rsid w:val="00EE36EF"/>
    <w:rsid w:val="00EF7595"/>
    <w:rsid w:val="00F40C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5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1A42"/>
    <w:pPr>
      <w:ind w:left="720"/>
      <w:contextualSpacing/>
    </w:pPr>
  </w:style>
  <w:style w:type="paragraph" w:styleId="Footer">
    <w:name w:val="footer"/>
    <w:basedOn w:val="Normal"/>
    <w:link w:val="FooterChar"/>
    <w:uiPriority w:val="99"/>
    <w:unhideWhenUsed/>
    <w:rsid w:val="00F40C3F"/>
    <w:pPr>
      <w:tabs>
        <w:tab w:val="center" w:pos="4320"/>
        <w:tab w:val="right" w:pos="8640"/>
      </w:tabs>
    </w:pPr>
  </w:style>
  <w:style w:type="character" w:customStyle="1" w:styleId="FooterChar">
    <w:name w:val="Footer Char"/>
    <w:basedOn w:val="DefaultParagraphFont"/>
    <w:link w:val="Footer"/>
    <w:uiPriority w:val="99"/>
    <w:rsid w:val="00F40C3F"/>
  </w:style>
  <w:style w:type="character" w:styleId="PageNumber">
    <w:name w:val="page number"/>
    <w:basedOn w:val="DefaultParagraphFont"/>
    <w:uiPriority w:val="99"/>
    <w:semiHidden/>
    <w:unhideWhenUsed/>
    <w:rsid w:val="00F40C3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1A42"/>
    <w:pPr>
      <w:ind w:left="720"/>
      <w:contextualSpacing/>
    </w:pPr>
  </w:style>
  <w:style w:type="paragraph" w:styleId="Footer">
    <w:name w:val="footer"/>
    <w:basedOn w:val="Normal"/>
    <w:link w:val="FooterChar"/>
    <w:uiPriority w:val="99"/>
    <w:unhideWhenUsed/>
    <w:rsid w:val="00F40C3F"/>
    <w:pPr>
      <w:tabs>
        <w:tab w:val="center" w:pos="4320"/>
        <w:tab w:val="right" w:pos="8640"/>
      </w:tabs>
    </w:pPr>
  </w:style>
  <w:style w:type="character" w:customStyle="1" w:styleId="FooterChar">
    <w:name w:val="Footer Char"/>
    <w:basedOn w:val="DefaultParagraphFont"/>
    <w:link w:val="Footer"/>
    <w:uiPriority w:val="99"/>
    <w:rsid w:val="00F40C3F"/>
  </w:style>
  <w:style w:type="character" w:styleId="PageNumber">
    <w:name w:val="page number"/>
    <w:basedOn w:val="DefaultParagraphFont"/>
    <w:uiPriority w:val="99"/>
    <w:semiHidden/>
    <w:unhideWhenUsed/>
    <w:rsid w:val="00F40C3F"/>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2380</Words>
  <Characters>13569</Characters>
  <Application>Microsoft Office Word</Application>
  <DocSecurity>0</DocSecurity>
  <Lines>113</Lines>
  <Paragraphs>31</Paragraphs>
  <ScaleCrop>false</ScaleCrop>
  <Company/>
  <LinksUpToDate>false</LinksUpToDate>
  <CharactersWithSpaces>15918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blymon</dc:creator>
  <cp:keywords/>
  <dc:description/>
  <cp:lastModifiedBy> </cp:lastModifiedBy>
  <cp:revision>2</cp:revision>
  <dcterms:created xsi:type="dcterms:W3CDTF">2013-12-12T15:57:00Z</dcterms:created>
  <dcterms:modified xsi:type="dcterms:W3CDTF">2013-12-12T15:57:00Z</dcterms:modified>
</cp:coreProperties>
</file>